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6457283" cy="8889722"/>
            <wp:effectExtent l="19050" t="0" r="667" b="0"/>
            <wp:docPr id="1" name="Рисунок 0" descr="img2_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_13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9920" cy="889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Организация «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Russia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» в соответствии с Уставом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WorldSkillsRussia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, Регламентом и Правилами конкурса, приняла следующие минимальные требования к профессиональной компетенции «Эксплуатация сельскохозяйственных машин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»д</w:t>
      </w:r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ля конкурса «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».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Техническое описание включает в себя следующие разделы: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1. ВВЕДЕНИЕ  3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2. КВАЛИФИКАЦИЯ И ОБЪЕМ РАБОТ  5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3. КОНКУРСНОЕ ЗАДАНИЕ  8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4. ОБЩЕНИЕ И ОПОВЕЩЕНИЕ  13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5. ОЦЕНКА  14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6. ОТРАСЛЕВЫЕ ТРЕБОВАНИЯ ТЕХНИКИ БЕЗОПАСНОСТИ.  16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7. МАТЕРИАЛЫ И ОБОРУДОВАНИЕ  18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8. ПОСЕТИТЕЛИ И ПРЕССА  21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Дата вступления в силу: протокол №7 от 01.01.01.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(подпись)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,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Технический директор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WorldSkillsRussia</w:t>
      </w:r>
      <w:proofErr w:type="spellEnd"/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1. ВВЕДЕНИЕ</w:t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1.1. Название и описание профессиональной компетенции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1.1.1 Название профессиональной компетенции: Эксплуатация сельскохозяйственных машин.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1.1.2. Описание профессиональной компетенции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Компетенция «Сельскохозяйственные машины» включает деятельность профессионального механизатора, которая обеспечивает выполнение механизированных работ по возделыванию и </w:t>
      </w: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уборке сельскохозяйственных культур; эксплуатацию,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назначения, выполняя всю работу в соответствии с действующими сводами правил. Работа механизатора также включает в себя: управление тракторами и самоходными сельскохозяйственными машинами всех видов на предприятиях сельского хозяйства; проведение ремонта, наладки и регулировки отдельных узлов и деталей тракторов, самоходных и других сельскохозяйственных машин, прицепных и навесных устройств с заменой отдельных частей и деталей. Механизатор должен уметь выявлять причины несложных неисправностей тракторов, самоходных и других сельскохозяйственных машин, прицепных и навесных устройств и устранять их.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1.2. Область применения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1.2.1. Каждый Эксперт и Участник обязан ознакомиться с данным Техническим описанием.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1.3. Сопроводительная документация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1.3.1. 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C7FA8" w:rsidRPr="001C7FA8" w:rsidRDefault="001C7FA8" w:rsidP="001C7F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«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Russia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», Регламент проведения чемпионата;</w:t>
      </w:r>
    </w:p>
    <w:p w:rsidR="001C7FA8" w:rsidRPr="001C7FA8" w:rsidRDefault="001C7FA8" w:rsidP="001C7F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«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Russia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»,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онлайн-ресурсы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указанные</w:t>
      </w:r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в данном документе.</w:t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2. КВАЛИФИКАЦИЯ И ОБЪЕМ РАБОТ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Чемпионат проводится для демонстрации и оценки квалификации в данном виде мастерства. Конкурсное задание состоит только из практической работы.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2.1. Требования к квалификации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Умение: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комплектовать машинно-тракторные агрегаты для проведения агротехнических работ в сельском хозяйстве;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выполнять технологические операции по регулировке машин и механизмов;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выполнять работы средней сложности по периодическому техническому обслуживанию тракторов и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агрегатируемых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с ними сельскохозяйственных машин с применением современных средств технического обслуживания;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выявлять и устранять причины несложных неисправностей сельскохозяйственной техники в производственных условиях;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пользоваться контрольно-измерительными приборами и инструментом;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читать рабочие и сборочные чертежи и схемы;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читать принципиальные, электрические и монтажные схемы;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пользоваться электроизмерительными приборами и приспособлениями до 220 вольт включительно;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проводить сращивание, спайку и изоляцию проводов и контролировать качество выполняемых работ;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осуществлять сварочные работы;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монтировать простейшие водопроводные системы;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осуществлять самоконтроль по выполнению техобслуживания и ремонта машин;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пользоваться нормативно-технической и технологической документацией;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выполнять работы с соблюдением требований безопасности;</w:t>
      </w:r>
    </w:p>
    <w:p w:rsidR="001C7FA8" w:rsidRPr="001C7FA8" w:rsidRDefault="001C7FA8" w:rsidP="001C7FA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соблюдать экологическую безопасность производства.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Знание и понимание: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устройство, принцип действия и технические характеристики основных марок тракторов и сельскохозяйственных машин;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мощность обслуживаемого двигателя и предельную нагрузку прицепных приспособлений;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правила комплектования машинно-тракторных агрегатов в растениеводстве и животноводстве;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средства и виды технического обслуживания тракторов, сельскохозяйственных машин и оборудования;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способы выявления и устранения дефектов в работе тракторов, сельскохозяйственных машин и оборудования;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характер соединения деталей и сборочных единиц;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правила применения современных контрольно-измерительных приборов, инструментов и средств технического оснащения;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технологии технического обслуживания и ремонта сельскохозяйственных машин и оборудования;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основные электротехнические материалы, правила сращивания, спайки и изоляции проводов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свойства, правила хранения и использования топлива, смазочных материалов и технических жидкостей;</w:t>
      </w:r>
    </w:p>
    <w:p w:rsidR="001C7FA8" w:rsidRPr="001C7FA8" w:rsidRDefault="001C7FA8" w:rsidP="001C7FA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правила и нормы охраны труда, техники безопасности производственной санитарии и пожарной безопасности.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Все указанные выше операции следует выполнять с использованием профессиональных навыков и безопасных методов работы.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2.2. Теоретические знания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2.2.1 Теоретические знания необходимы, но они не подвергаются явной проверке.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2.2.2. Знание правил и постановлений не проверяется.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2.3. Практическая работа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Участник должен продемонстрировать различные умения в области профессии «Тракторист-механизатор»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Участник должен выполнить модули конкурсного задания.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3. КОНКУРСНОЕ ЗАДАНИЕ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3.1. Формат и структура Конкурсного задания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Конкурсное задание представляет собой серию самостоятельных модулей.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3.2. Требования к проекту Конкурсного задания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Общие требования:</w:t>
      </w:r>
    </w:p>
    <w:p w:rsidR="001C7FA8" w:rsidRPr="001C7FA8" w:rsidRDefault="001C7FA8" w:rsidP="001C7FA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Все технические термины и описания, используемые в Конкурсном задании, должны соответствовать международным стандартам и терминам (если это применимо).</w:t>
      </w:r>
    </w:p>
    <w:p w:rsidR="001C7FA8" w:rsidRPr="001C7FA8" w:rsidRDefault="001C7FA8" w:rsidP="001C7FA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Группа разработчиков, отвечающая за модули конкурсного задания, также должна разработать список инструментов, достаточный для выполнения конкурсного задания. Список используется как руководство при комплектации инструментальных ящиков.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Конкурсное задание будет состоять из следующих модулей: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1: Техническое обслуживание газораспределительного механизма дизельного двигателя трактора;</w:t>
      </w:r>
    </w:p>
    <w:p w:rsidR="001C7FA8" w:rsidRPr="001C7FA8" w:rsidRDefault="001C7FA8" w:rsidP="001C7F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Максимум 3 часа, включая пуск и наладку оборудования;</w:t>
      </w:r>
    </w:p>
    <w:p w:rsidR="001C7FA8" w:rsidRPr="001C7FA8" w:rsidRDefault="001C7FA8" w:rsidP="001C7F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1C7FA8" w:rsidRPr="001C7FA8" w:rsidRDefault="001C7FA8" w:rsidP="001C7F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включает в себя правильную и рациональную организацию рабочего места, технологическую последовательность выполнения работы, правильную проверку и регулировку тепловых зазоров в клапанном механизме, проверку правильности регулировки, соблюдение правил экологической безопасности;</w:t>
      </w:r>
    </w:p>
    <w:p w:rsidR="001C7FA8" w:rsidRPr="001C7FA8" w:rsidRDefault="001C7FA8" w:rsidP="001C7F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1 начинается в день 1;</w:t>
      </w:r>
    </w:p>
    <w:p w:rsidR="001C7FA8" w:rsidRPr="001C7FA8" w:rsidRDefault="001C7FA8" w:rsidP="001C7F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1 должен быть завершен и оценен до конца 3 дня;</w:t>
      </w:r>
    </w:p>
    <w:p w:rsidR="001C7FA8" w:rsidRPr="001C7FA8" w:rsidRDefault="001C7FA8" w:rsidP="001C7FA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1 должен быть установлен на 1 площадке для участников.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2: Техническое обслуживание системы питания двигателя Д-260</w:t>
      </w:r>
    </w:p>
    <w:p w:rsidR="001C7FA8" w:rsidRPr="001C7FA8" w:rsidRDefault="001C7FA8" w:rsidP="001C7FA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Максимум 3 часа, включая пуск и наладку оборудования;</w:t>
      </w:r>
    </w:p>
    <w:p w:rsidR="001C7FA8" w:rsidRPr="001C7FA8" w:rsidRDefault="001C7FA8" w:rsidP="001C7FA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Организатор чемпионата должен предоставлять материалы, достаточные только для выполнения конкурсного задания;</w:t>
      </w:r>
    </w:p>
    <w:p w:rsidR="001C7FA8" w:rsidRPr="001C7FA8" w:rsidRDefault="001C7FA8" w:rsidP="001C7FA8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включает в себя правильную и рациональную организацию рабочего места, технологическую последовательность выполнения работы, обслуживание фильтров грубой и тонкой очистки топлива, установку ТНВД на трактор, проверку и регулировку установочного угла опережения впрыска топлива, проверку форсунок на давление начала впрыска и качество распыла топлива.</w:t>
      </w:r>
    </w:p>
    <w:p w:rsidR="001C7FA8" w:rsidRPr="001C7FA8" w:rsidRDefault="001C7FA8" w:rsidP="001C7FA8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2 начинается в день 1;</w:t>
      </w:r>
    </w:p>
    <w:p w:rsidR="001C7FA8" w:rsidRPr="001C7FA8" w:rsidRDefault="001C7FA8" w:rsidP="001C7FA8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2 должен быть завершен и оценен до конца 3 дня;</w:t>
      </w:r>
    </w:p>
    <w:p w:rsidR="001C7FA8" w:rsidRPr="001C7FA8" w:rsidRDefault="001C7FA8" w:rsidP="001C7FA8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2 должен быть установлен на 1 площадке для участников.</w:t>
      </w:r>
    </w:p>
    <w:p w:rsidR="001C7FA8" w:rsidRPr="001C7FA8" w:rsidRDefault="001C7FA8" w:rsidP="001C7FA8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2 должен быть завершен и оценен до конца 3 дня;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Модуль-3: Устранение неисправностей, комплектование и регулировка пресс-подборщика;</w:t>
      </w:r>
    </w:p>
    <w:p w:rsidR="001C7FA8" w:rsidRPr="001C7FA8" w:rsidRDefault="001C7FA8" w:rsidP="001C7F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Максимум 3 часа, включая пуск и наладку оборудования;</w:t>
      </w:r>
    </w:p>
    <w:p w:rsidR="001C7FA8" w:rsidRPr="001C7FA8" w:rsidRDefault="001C7FA8" w:rsidP="001C7F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1C7FA8" w:rsidRPr="001C7FA8" w:rsidRDefault="001C7FA8" w:rsidP="001C7F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Модуль может включать в себя правильную и рациональную организацию рабочего места, технологическую последовательность выполнения работы, устранение неисправностей и регулировку пресс-подборщика;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агрегатирование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пресс-подборщика с трактором.</w:t>
      </w:r>
    </w:p>
    <w:p w:rsidR="001C7FA8" w:rsidRPr="001C7FA8" w:rsidRDefault="001C7FA8" w:rsidP="001C7F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3 начинается в день-1;</w:t>
      </w:r>
    </w:p>
    <w:p w:rsidR="001C7FA8" w:rsidRPr="001C7FA8" w:rsidRDefault="001C7FA8" w:rsidP="001C7F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3 должен быть завершен и оценен до конца 3 дня;</w:t>
      </w:r>
    </w:p>
    <w:p w:rsidR="001C7FA8" w:rsidRPr="001C7FA8" w:rsidRDefault="001C7FA8" w:rsidP="001C7FA8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3 должен быть установлен на 1 площадке для участников.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Модуль-4: Устранение неисправностей и зерноуборочного комбайна «Акрос-530»;</w:t>
      </w:r>
    </w:p>
    <w:p w:rsidR="001C7FA8" w:rsidRPr="001C7FA8" w:rsidRDefault="001C7FA8" w:rsidP="001C7F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Максимум 3 часа, включая пуск и наладку оборудования;</w:t>
      </w:r>
    </w:p>
    <w:p w:rsidR="001C7FA8" w:rsidRPr="001C7FA8" w:rsidRDefault="001C7FA8" w:rsidP="001C7F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1C7FA8" w:rsidRPr="001C7FA8" w:rsidRDefault="001C7FA8" w:rsidP="001C7F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может включать в себя устранение неисправностей режущего аппарата; устранение неисправностей и регулировка пальчикового механизма шнека, регулировка шнека;</w:t>
      </w:r>
    </w:p>
    <w:p w:rsidR="001C7FA8" w:rsidRPr="001C7FA8" w:rsidRDefault="001C7FA8" w:rsidP="001C7F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4 начинается в день 1;</w:t>
      </w:r>
    </w:p>
    <w:p w:rsidR="001C7FA8" w:rsidRPr="001C7FA8" w:rsidRDefault="001C7FA8" w:rsidP="001C7F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4 должен быть завершен и оценен до конца 3 дня;</w:t>
      </w:r>
    </w:p>
    <w:p w:rsidR="001C7FA8" w:rsidRPr="001C7FA8" w:rsidRDefault="001C7FA8" w:rsidP="001C7FA8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4 должен быть установлен на 1 площадке для участников;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Модуль-5: Комплектование пахотного агрегата;</w:t>
      </w:r>
    </w:p>
    <w:p w:rsidR="001C7FA8" w:rsidRPr="001C7FA8" w:rsidRDefault="001C7FA8" w:rsidP="001C7F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Максимум 3 часа, включая пуск и наладку оборудования;</w:t>
      </w:r>
    </w:p>
    <w:p w:rsidR="001C7FA8" w:rsidRPr="001C7FA8" w:rsidRDefault="001C7FA8" w:rsidP="001C7F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Организатор чемпионата должен предоставлять материалы, достаточные только для выполнения конкурсного задания;</w:t>
      </w:r>
    </w:p>
    <w:p w:rsidR="001C7FA8" w:rsidRPr="001C7FA8" w:rsidRDefault="001C7FA8" w:rsidP="001C7F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Модуль включает в себя правильную и рациональную организацию рабочего места, технологическую последовательность выполнения работы, комплектование оборотного плуга,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агрегатирование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с трактором, настройку на заданную глубину пахоты.</w:t>
      </w:r>
    </w:p>
    <w:p w:rsidR="001C7FA8" w:rsidRPr="001C7FA8" w:rsidRDefault="001C7FA8" w:rsidP="001C7F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5 начинается в день 1;</w:t>
      </w:r>
    </w:p>
    <w:p w:rsidR="001C7FA8" w:rsidRPr="001C7FA8" w:rsidRDefault="001C7FA8" w:rsidP="001C7F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5 должен быть завершен и оценен до конца 3 дня;</w:t>
      </w:r>
    </w:p>
    <w:p w:rsidR="001C7FA8" w:rsidRPr="001C7FA8" w:rsidRDefault="001C7FA8" w:rsidP="001C7FA8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Модуль 5 должен быть установлен на 1 площадке для участников.</w:t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3.3. Разработка конкурсного задания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Конкурсное задание составляется экспертами. Используется для текстовых документов шаблон формата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Word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, а для чертежей – шаблон формата DWG.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3.3.1. Кто разрабатывает конкурсные задания / модули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Группа разработчиков состоит 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из</w:t>
      </w:r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:</w:t>
      </w:r>
    </w:p>
    <w:p w:rsidR="001C7FA8" w:rsidRPr="001C7FA8" w:rsidRDefault="001C7FA8" w:rsidP="001C7FA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Главного эксперта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: ;</w:t>
      </w:r>
      <w:proofErr w:type="gramEnd"/>
    </w:p>
    <w:p w:rsidR="001C7FA8" w:rsidRPr="001C7FA8" w:rsidRDefault="001C7FA8" w:rsidP="001C7FA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заместитель главного эксперта;</w:t>
      </w:r>
    </w:p>
    <w:p w:rsidR="001C7FA8" w:rsidRPr="001C7FA8" w:rsidRDefault="001C7FA8" w:rsidP="001C7FA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других Экспертов</w:t>
      </w:r>
    </w:p>
    <w:p w:rsidR="001C7FA8" w:rsidRPr="001C7FA8" w:rsidRDefault="001C7FA8" w:rsidP="001C7FA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Предложения группе разработчиков могут направлять все Эксперты, зарегистрированные на сайте: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WorldSkillsRussia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Форум</w:t>
      </w:r>
      <w:proofErr w:type="spellEnd"/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, компетенция «Сельскохозяйственные машины».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Спонсоры никак не могут влиять на разработку задания.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3.3.2. Как и где разрабатывается конкурсное задание / модули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Модули конкурсного задания разрабатываются самостоятельно Экспертами, которые затем передают их группе разработчиков.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3.4. Ведомость выставления оценок за конкурсное задание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Каждое конкурсное задание сопровождается проектом ведомости выставления оценок, основанным на критериях оценки, определяемой в разделе 5.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3.4.1. Проект ведомости выставления оценок разрабатывает лицо (лица), занимающееся разработкой конкурсного задания. Подробная окончательная ведомость выставления оценок разрабатывается и утверждается всеми Экспертами на чемпионате.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3.4.2. Ведомости выставления оценок необходимо подать в CIS (Информационная система чемпионата) до начала чемпионата.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3.5. Утверждение конкурсного задания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Главный эксперт и Заместитель Главного эксперта принимают совместное решение о выполнимости всех модулей. Во внимание принимаются время, мастерство участников и материалы.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3.6. Выбор конкурсного задания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Выбор конкурсного задания происходит следующим образом: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Путем внесения предложений группы Экспертов и Главного эксперта.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3.7. Обнародование конкурсного задания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Конкурсное задание рассылается участникам чемпионата.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3.8. Согласование конкурсного задания (подготовка к чемпионату)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Согласование конкурсного задания ведется национальным экспертом.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3.9. Изменение конкурсного задания во время чемпионата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Во время чемпионата Эксперты вносят до 30% изменений следующим образом:</w:t>
      </w:r>
    </w:p>
    <w:p w:rsidR="001C7FA8" w:rsidRPr="001C7FA8" w:rsidRDefault="001C7FA8" w:rsidP="001C7FA8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Изменение размеров;</w:t>
      </w:r>
    </w:p>
    <w:p w:rsidR="001C7FA8" w:rsidRPr="001C7FA8" w:rsidRDefault="001C7FA8" w:rsidP="001C7FA8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Изменение функции;</w:t>
      </w:r>
    </w:p>
    <w:p w:rsidR="001C7FA8" w:rsidRPr="001C7FA8" w:rsidRDefault="001C7FA8" w:rsidP="001C7FA8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Изменение материалов;</w:t>
      </w:r>
    </w:p>
    <w:p w:rsidR="001C7FA8" w:rsidRPr="001C7FA8" w:rsidRDefault="001C7FA8" w:rsidP="001C7FA8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Изменение компоновки.</w:t>
      </w:r>
    </w:p>
    <w:p w:rsidR="001C7FA8" w:rsidRPr="001C7FA8" w:rsidRDefault="001C7FA8" w:rsidP="001C7FA8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При внесении 30% изменений необходимо принимать во внимание наличие материалов и оборудования.</w:t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3.10. Свойства материала или инструкции производителя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Если для выполнения задания участнику конкурса необходимо ознакомиться с инструкциями производителя, он получает их вместе с конкурсным заданием, на электронном или бумажном носителе. При необходимости, во время ознакомления эксперт организует демонстрацию на месте.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4. ОБЩЕНИЕ И ОПОВЕЩЕНИЕ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4.1. Дискуссионный форум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Все предконкурсные обсуждения проходят на особом совещании до начала чемпионата. Изменения принимаются только после предварительного обсуждения на совещании или сайте: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WorldSkillsRussia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Форум</w:t>
      </w:r>
      <w:proofErr w:type="spellEnd"/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5. ОЦЕНКА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В данном пункте предоставляется описание принципов 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оценки</w:t>
      </w:r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экспертами конкурсных заданий, включая соответствие процесса и результата необходимым требованиям.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5.1. Критерии оценки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 данном пункте определяются критерии оценки и количество баллов, объективных (профессиональных), начисляемых конкурсанту.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0"/>
        <w:gridCol w:w="7481"/>
        <w:gridCol w:w="886"/>
        <w:gridCol w:w="58"/>
      </w:tblGrid>
      <w:tr w:rsidR="001C7FA8" w:rsidRPr="001C7FA8" w:rsidTr="001C7FA8">
        <w:trPr>
          <w:gridAfter w:val="1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</w:tr>
      <w:tr w:rsidR="001C7FA8" w:rsidRPr="001C7FA8" w:rsidTr="001C7FA8">
        <w:trPr>
          <w:gridAfter w:val="1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26"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Объективные</w:t>
            </w:r>
          </w:p>
          <w:p w:rsidR="001C7FA8" w:rsidRPr="001C7FA8" w:rsidRDefault="001C7FA8" w:rsidP="001C7FA8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7FA8" w:rsidRPr="001C7FA8" w:rsidRDefault="001C7FA8" w:rsidP="001C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FA8" w:rsidRPr="001C7FA8" w:rsidTr="001C7F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газораспределительного механизма дизельного двигателя трактора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26"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FA8" w:rsidRPr="001C7FA8" w:rsidTr="001C7F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топливной системы двигателя Д-260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26"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FA8" w:rsidRPr="001C7FA8" w:rsidTr="001C7F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неисправностей, комплектование и регулировки пресс-подборщика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26"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FA8" w:rsidRPr="001C7FA8" w:rsidTr="001C7F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неисправностей и регулировки жатки зерноуборочного комбайна «Акрос-30»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26"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FA8" w:rsidRPr="001C7FA8" w:rsidTr="001C7F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пахотного агрегата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26"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FA8" w:rsidRPr="001C7FA8" w:rsidTr="001C7F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=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bottom"/>
            <w:hideMark/>
          </w:tcPr>
          <w:p w:rsidR="001C7FA8" w:rsidRPr="001C7FA8" w:rsidRDefault="001C7FA8" w:rsidP="001C7FA8">
            <w:pPr>
              <w:spacing w:before="327" w:after="0" w:line="240" w:lineRule="auto"/>
              <w:ind w:left="26" w:right="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7FA8" w:rsidRPr="001C7FA8" w:rsidRDefault="001C7FA8" w:rsidP="001C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7FA8" w:rsidRPr="001C7FA8" w:rsidRDefault="001C7FA8" w:rsidP="001C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5.3. Оценка владения профессиональным навыком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Оценка конкурсного задания будет основываться на следующих критериях:</w:t>
      </w:r>
    </w:p>
    <w:p w:rsidR="001C7FA8" w:rsidRPr="001C7FA8" w:rsidRDefault="001C7FA8" w:rsidP="001C7F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А Техническое обслуживание газораспределительного механизма дизельного двигателя трактора;</w:t>
      </w:r>
    </w:p>
    <w:p w:rsidR="001C7FA8" w:rsidRPr="001C7FA8" w:rsidRDefault="001C7FA8" w:rsidP="001C7F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В. Техническое обслуживание топливной системы двигателя Д-260;</w:t>
      </w:r>
    </w:p>
    <w:p w:rsidR="001C7FA8" w:rsidRPr="001C7FA8" w:rsidRDefault="001C7FA8" w:rsidP="001C7F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С. Устранение неисправностей, комплектование и регулировки пресс-подборщика;</w:t>
      </w:r>
    </w:p>
    <w:p w:rsidR="001C7FA8" w:rsidRPr="001C7FA8" w:rsidRDefault="001C7FA8" w:rsidP="001C7F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D. Устранение неисправностей и регулировки жатки зерноуборочного комбайна;</w:t>
      </w:r>
    </w:p>
    <w:p w:rsidR="001C7FA8" w:rsidRPr="001C7FA8" w:rsidRDefault="001C7FA8" w:rsidP="001C7FA8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E. Комплектование пахотного агрегата.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5.4. Регламент оценки мастерства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Главный эксперт и Заместитель Главного эксперта обсуждают и распределяют Экспертов по модулям для выставления оценок. Оценивание модуля должно осуществляться одним Экспертом. Также необходимо принимать во внимание культуры и языки (обеспечить многообразие в каждой группе).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Там, где это возможно, Эксперты начисляют одинаковое количество баллов.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Запуск двигателя и движение агрегата выполняется только по разрешению эксперта.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6. ОТРАСЛЕВЫЕ ТРЕБОВАНИЯ ТЕХНИКИ БЕЗОПАСНОСТИ.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См. документацию по технике безопасности и охране труда принимающей стороны.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Все баллы, начисляемые за соблюдение правил техники безопасности и гигиены, доводятся до сведения участников в ходе ознакомления.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Если Эксперты, наблюдающие за участниками, замечают нарушение правил техники безопасности и гигиены в ходе конкурса, они обязаны:</w:t>
      </w:r>
    </w:p>
    <w:p w:rsidR="001C7FA8" w:rsidRPr="001C7FA8" w:rsidRDefault="001C7FA8" w:rsidP="001C7FA8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Первое нарушение: сделать предупреждение участнику и зафиксировать нарушение в протоколе;</w:t>
      </w:r>
    </w:p>
    <w:p w:rsidR="001C7FA8" w:rsidRPr="001C7FA8" w:rsidRDefault="001C7FA8" w:rsidP="001C7FA8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Второе нарушение: зафиксировать нарушение в протоколе и снять участника за нарушение правил техники безопасности и гигиены с модуля.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Участник может получить разрешение на выполнение запуска или движения от эксперта в следующих случаях:</w:t>
      </w:r>
    </w:p>
    <w:p w:rsidR="001C7FA8" w:rsidRPr="001C7FA8" w:rsidRDefault="001C7FA8" w:rsidP="001C7FA8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Все обязательные работы выполнены;</w:t>
      </w:r>
    </w:p>
    <w:p w:rsidR="001C7FA8" w:rsidRPr="001C7FA8" w:rsidRDefault="001C7FA8" w:rsidP="001C7FA8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Подан доклад о проверке, и результаты признаны правильными в соответствии с «Общими инструкциями для всех модулей»;</w:t>
      </w:r>
    </w:p>
    <w:p w:rsidR="001C7FA8" w:rsidRPr="001C7FA8" w:rsidRDefault="001C7FA8" w:rsidP="001C7FA8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Визуальный осмотр, нарушений и недостатков, в ходе выполнения задания, не выявил.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Для обеспечения безопасности, Эксперты ведут наблюдение, находясь за пределами рабочей площадки участников. Эксперт не может входить на рабочую площадку, кроме тех случаев, когда участник просит о помощи, или тех случаев, когда непосредственная безопасность участника находится под угрозой. Все эксперты и участники одеты в спецодежду и обуты в ботинки с 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металлическим</w:t>
      </w:r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подмыском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7. МАТЕРИАЛЫ И ОБОРУДОВАНИЕ.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7.1. Инфраструктурный лист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Инфраструктурный ли</w:t>
      </w:r>
      <w:proofErr w:type="gram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ст вкл</w:t>
      </w:r>
      <w:proofErr w:type="gram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ючает все, что необходимо для выполнения конкурсных заданий. Организатор конкурса дополняет список точным количеством необходимых материалов, их особенностей, моделей и марок. Инфраструктура, предоставляемая организатором, включена в отдельный список.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Перед каждым конкурсом эксперты обязаны проверить и скорректировать список, а также согласовать его с техническим директором WSR.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На каждом конкурсе технический </w:t>
      </w:r>
      <w:proofErr w:type="spellStart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супервайзер</w:t>
      </w:r>
      <w:proofErr w:type="spellEnd"/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 xml:space="preserve">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7.2. Материалы, оборудование и инструменты, которые участники имеют при себе в своем инструментальном ящике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Участники могут приносить с собой свои собственные инструменты, которые указаны таковыми в инфраструктурном листе.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7.3. Материалы, оборудование и инструменты, предоставляемые Экспертами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Не допускается.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7.4. Предлагаемая схема мастерской и рабочего места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Расположение конкурсного участка.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Рисунок 1. Модули М-1 – М- 4 , М -5.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Примерная схема расположения рабочих мест (Вариант 1)</w:t>
      </w:r>
    </w:p>
    <w:p w:rsidR="001C7FA8" w:rsidRPr="001C7FA8" w:rsidRDefault="001C7FA8" w:rsidP="001C7FA8">
      <w:pPr>
        <w:shd w:val="clear" w:color="auto" w:fill="FFFFFF"/>
        <w:spacing w:before="327"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Рис.1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bottom w:val="single" w:sz="4" w:space="5" w:color="808080"/>
        </w:pBdr>
        <w:shd w:val="clear" w:color="auto" w:fill="FFFFFF"/>
        <w:spacing w:before="262" w:after="0" w:line="240" w:lineRule="auto"/>
        <w:ind w:left="39" w:right="39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6"/>
          <w:szCs w:val="26"/>
        </w:rPr>
      </w:pPr>
      <w:r w:rsidRPr="001C7FA8">
        <w:rPr>
          <w:rFonts w:ascii="Helvetica" w:eastAsia="Times New Roman" w:hAnsi="Helvetica" w:cs="Helvetica"/>
          <w:color w:val="000000"/>
          <w:kern w:val="36"/>
          <w:sz w:val="26"/>
          <w:szCs w:val="26"/>
        </w:rPr>
        <w:t>8. ПОСЕТИТЕЛИ И ПРЕССА</w:t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8.1. Максимальное вовлечение посетителей и журналистов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проведение ярмарки вакансий;</w:t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расположение экранов, показывающих информацию о конкурсантах и этапы их работы;</w:t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описание конкурсных проектов;</w:t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объяснение зрителям, в чем заключаются действия конкурсантов;</w:t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предоставление информации о конкурсантах;</w:t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ежедневные отчеты о ходе конкурса;</w:t>
      </w:r>
    </w:p>
    <w:p w:rsidR="001C7FA8" w:rsidRPr="001C7FA8" w:rsidRDefault="001C7FA8" w:rsidP="001C7FA8">
      <w:pPr>
        <w:numPr>
          <w:ilvl w:val="0"/>
          <w:numId w:val="18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приз зрительских симпатий.</w:t>
      </w:r>
    </w:p>
    <w:p w:rsidR="001C7FA8" w:rsidRPr="001C7FA8" w:rsidRDefault="001C7FA8" w:rsidP="001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1C7FA8" w:rsidRPr="001C7FA8" w:rsidRDefault="001C7FA8" w:rsidP="001C7FA8">
      <w:pPr>
        <w:pBdr>
          <w:left w:val="single" w:sz="4" w:space="13" w:color="417AC9"/>
          <w:bottom w:val="single" w:sz="2" w:space="5" w:color="808080"/>
        </w:pBdr>
        <w:shd w:val="clear" w:color="auto" w:fill="FFFFFF"/>
        <w:spacing w:before="393" w:after="0" w:line="240" w:lineRule="auto"/>
        <w:ind w:left="65" w:right="196"/>
        <w:textAlignment w:val="baseline"/>
        <w:outlineLvl w:val="1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C7FA8">
        <w:rPr>
          <w:rFonts w:ascii="Helvetica" w:eastAsia="Times New Roman" w:hAnsi="Helvetica" w:cs="Helvetica"/>
          <w:color w:val="000000"/>
          <w:sz w:val="24"/>
          <w:szCs w:val="24"/>
        </w:rPr>
        <w:t>8.2. Экология и эргономика</w:t>
      </w:r>
    </w:p>
    <w:p w:rsidR="001C7FA8" w:rsidRPr="001C7FA8" w:rsidRDefault="001C7FA8" w:rsidP="001C7F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Эксперты и участники должны обращать особое внимание на подбор инструментов и комплектацию своих инструментальных ящиков. Следует приносить с собой минимум инструментов, необходимых для выполнения конкурсных заданий;</w:t>
      </w:r>
    </w:p>
    <w:p w:rsidR="001C7FA8" w:rsidRPr="001C7FA8" w:rsidRDefault="001C7FA8" w:rsidP="001C7F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Группы разработчиков заданий должны придавать особое значение вопросам экологии при составлении заданий;</w:t>
      </w:r>
    </w:p>
    <w:p w:rsidR="001C7FA8" w:rsidRPr="001C7FA8" w:rsidRDefault="001C7FA8" w:rsidP="001C7FA8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C7FA8">
        <w:rPr>
          <w:rFonts w:ascii="Helvetica" w:eastAsia="Times New Roman" w:hAnsi="Helvetica" w:cs="Helvetica"/>
          <w:color w:val="000000"/>
          <w:sz w:val="21"/>
          <w:szCs w:val="21"/>
        </w:rPr>
        <w:t>Все бумажные документы, необходимо перевести в электронную форму. Этим занимается Главный эксперт и Заместитель Главного эксперта.</w:t>
      </w:r>
    </w:p>
    <w:p w:rsidR="00D56061" w:rsidRDefault="00D56061" w:rsidP="001C7FA8">
      <w:pPr>
        <w:spacing w:after="0" w:line="240" w:lineRule="auto"/>
      </w:pPr>
    </w:p>
    <w:sectPr w:rsidR="00D56061" w:rsidSect="001C7FA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81E"/>
    <w:multiLevelType w:val="multilevel"/>
    <w:tmpl w:val="AD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21DF"/>
    <w:multiLevelType w:val="multilevel"/>
    <w:tmpl w:val="40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F0E"/>
    <w:multiLevelType w:val="multilevel"/>
    <w:tmpl w:val="69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E32EE"/>
    <w:multiLevelType w:val="multilevel"/>
    <w:tmpl w:val="0CB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63FF"/>
    <w:multiLevelType w:val="multilevel"/>
    <w:tmpl w:val="FE2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85062"/>
    <w:multiLevelType w:val="multilevel"/>
    <w:tmpl w:val="E5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9D7"/>
    <w:multiLevelType w:val="multilevel"/>
    <w:tmpl w:val="6C72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2502A"/>
    <w:multiLevelType w:val="multilevel"/>
    <w:tmpl w:val="4FD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D0C9D"/>
    <w:multiLevelType w:val="multilevel"/>
    <w:tmpl w:val="113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07A8"/>
    <w:multiLevelType w:val="multilevel"/>
    <w:tmpl w:val="E18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C7E56"/>
    <w:multiLevelType w:val="multilevel"/>
    <w:tmpl w:val="04E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1583E"/>
    <w:multiLevelType w:val="multilevel"/>
    <w:tmpl w:val="12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E5AEE"/>
    <w:multiLevelType w:val="multilevel"/>
    <w:tmpl w:val="373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E2C9E"/>
    <w:multiLevelType w:val="multilevel"/>
    <w:tmpl w:val="A6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157FA"/>
    <w:multiLevelType w:val="multilevel"/>
    <w:tmpl w:val="BFF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538"/>
    <w:multiLevelType w:val="multilevel"/>
    <w:tmpl w:val="53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6359E"/>
    <w:multiLevelType w:val="multilevel"/>
    <w:tmpl w:val="470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57AF3"/>
    <w:multiLevelType w:val="multilevel"/>
    <w:tmpl w:val="22E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60A80"/>
    <w:multiLevelType w:val="multilevel"/>
    <w:tmpl w:val="87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C7FA8"/>
    <w:rsid w:val="001C7FA8"/>
    <w:rsid w:val="00D5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7F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2650</Words>
  <Characters>15106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2</cp:revision>
  <dcterms:created xsi:type="dcterms:W3CDTF">2019-03-06T07:28:00Z</dcterms:created>
  <dcterms:modified xsi:type="dcterms:W3CDTF">2019-03-06T07:30:00Z</dcterms:modified>
</cp:coreProperties>
</file>