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2C" w:rsidRDefault="00DD3B2C" w:rsidP="00DD3B2C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DD3B2C" w:rsidRDefault="00DD3B2C" w:rsidP="00DD3B2C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Финансовая грамотность</w:t>
      </w:r>
    </w:p>
    <w:p w:rsidR="00DD3B2C" w:rsidRDefault="00DD3B2C" w:rsidP="00DD3B2C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25.01.2022</w:t>
      </w:r>
    </w:p>
    <w:p w:rsidR="00DD3B2C" w:rsidRDefault="00DD3B2C" w:rsidP="00DD3B2C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2-13</w:t>
      </w:r>
    </w:p>
    <w:p w:rsidR="00DD3B2C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DD3B2C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3ACA">
        <w:rPr>
          <w:b/>
          <w:bCs/>
          <w:color w:val="000000"/>
          <w:sz w:val="28"/>
          <w:szCs w:val="28"/>
        </w:rPr>
        <w:t>Тема: </w:t>
      </w:r>
      <w:r w:rsidRPr="00B73ACA">
        <w:rPr>
          <w:b/>
          <w:bCs/>
          <w:i/>
          <w:iCs/>
          <w:color w:val="000000"/>
          <w:sz w:val="28"/>
          <w:szCs w:val="28"/>
        </w:rPr>
        <w:t>«</w:t>
      </w:r>
      <w:r w:rsidRPr="00014DE6">
        <w:rPr>
          <w:b/>
          <w:i/>
          <w:sz w:val="28"/>
        </w:rPr>
        <w:t>Контроль семейных расходов</w:t>
      </w:r>
      <w:r w:rsidRPr="00B73ACA">
        <w:rPr>
          <w:b/>
          <w:bCs/>
          <w:i/>
          <w:iCs/>
          <w:color w:val="000000"/>
          <w:sz w:val="28"/>
          <w:szCs w:val="28"/>
        </w:rPr>
        <w:t>».</w:t>
      </w:r>
    </w:p>
    <w:p w:rsidR="00DD3B2C" w:rsidRPr="00972F93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93">
        <w:rPr>
          <w:color w:val="000000"/>
          <w:sz w:val="28"/>
          <w:szCs w:val="28"/>
        </w:rPr>
        <w:t> </w:t>
      </w:r>
      <w:r w:rsidRPr="00972F93">
        <w:rPr>
          <w:b/>
          <w:bCs/>
          <w:i/>
          <w:iCs/>
          <w:color w:val="000000"/>
          <w:sz w:val="28"/>
          <w:szCs w:val="28"/>
        </w:rPr>
        <w:t>На какие 2 вида можно разделить расходы?</w:t>
      </w:r>
    </w:p>
    <w:p w:rsidR="00DD3B2C" w:rsidRPr="00972F93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93">
        <w:rPr>
          <w:i/>
          <w:iCs/>
          <w:color w:val="000000"/>
          <w:sz w:val="28"/>
          <w:szCs w:val="28"/>
        </w:rPr>
        <w:t>1. Постоянные</w:t>
      </w:r>
    </w:p>
    <w:p w:rsidR="00DD3B2C" w:rsidRPr="00972F93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93">
        <w:rPr>
          <w:i/>
          <w:iCs/>
          <w:color w:val="000000"/>
          <w:sz w:val="28"/>
          <w:szCs w:val="28"/>
        </w:rPr>
        <w:t>2 Переменные</w:t>
      </w:r>
    </w:p>
    <w:p w:rsidR="00DD3B2C" w:rsidRPr="00972F93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93">
        <w:rPr>
          <w:i/>
          <w:iCs/>
          <w:color w:val="000000"/>
          <w:sz w:val="28"/>
          <w:szCs w:val="28"/>
        </w:rPr>
        <w:t>Постоянные</w:t>
      </w:r>
      <w:r w:rsidRPr="00972F93">
        <w:rPr>
          <w:color w:val="000000"/>
          <w:sz w:val="28"/>
          <w:szCs w:val="28"/>
        </w:rPr>
        <w:t xml:space="preserve">— </w:t>
      </w:r>
      <w:proofErr w:type="gramStart"/>
      <w:r w:rsidRPr="00972F93">
        <w:rPr>
          <w:color w:val="000000"/>
          <w:sz w:val="28"/>
          <w:szCs w:val="28"/>
        </w:rPr>
        <w:t>эт</w:t>
      </w:r>
      <w:proofErr w:type="gramEnd"/>
      <w:r w:rsidRPr="00972F93">
        <w:rPr>
          <w:color w:val="000000"/>
          <w:sz w:val="28"/>
          <w:szCs w:val="28"/>
        </w:rPr>
        <w:t>о расходы, которые можно осуществить или запланировать на какой-либо период, в течение которого они не меняются. К ним относят покупку основных продуктов питания, плату за квартиру.</w:t>
      </w:r>
    </w:p>
    <w:p w:rsidR="00DD3B2C" w:rsidRPr="00972F93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93">
        <w:rPr>
          <w:i/>
          <w:iCs/>
          <w:color w:val="000000"/>
          <w:sz w:val="28"/>
          <w:szCs w:val="28"/>
        </w:rPr>
        <w:t>Переменные – </w:t>
      </w:r>
      <w:r w:rsidRPr="00972F93">
        <w:rPr>
          <w:color w:val="000000"/>
          <w:sz w:val="28"/>
          <w:szCs w:val="28"/>
        </w:rPr>
        <w:t>к циклическим расходам относится покупка предметов различного срока пользования (мебель — 10-12 лет, верхняя одежда — 2-3 сезона, бытовая техника, материалы для ремонта квартиры и т. д.).</w:t>
      </w:r>
    </w:p>
    <w:p w:rsidR="00DD3B2C" w:rsidRPr="00972F93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93">
        <w:rPr>
          <w:i/>
          <w:iCs/>
          <w:color w:val="000000"/>
          <w:sz w:val="28"/>
          <w:szCs w:val="28"/>
        </w:rPr>
        <w:t>Сезонные </w:t>
      </w:r>
      <w:r w:rsidRPr="00972F93">
        <w:rPr>
          <w:color w:val="000000"/>
          <w:sz w:val="28"/>
          <w:szCs w:val="28"/>
        </w:rPr>
        <w:t>расходы связаны с определенными сезонными явлениями (заготовка впрок ягод и овощей, закупка семян и удобрений для садового участка и т. п.).</w:t>
      </w:r>
    </w:p>
    <w:p w:rsidR="00DD3B2C" w:rsidRPr="00972F93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93">
        <w:rPr>
          <w:i/>
          <w:iCs/>
          <w:color w:val="000000"/>
          <w:sz w:val="28"/>
          <w:szCs w:val="28"/>
        </w:rPr>
        <w:t>Непредвиденные </w:t>
      </w:r>
      <w:r w:rsidRPr="00972F93">
        <w:rPr>
          <w:color w:val="000000"/>
          <w:sz w:val="28"/>
          <w:szCs w:val="28"/>
        </w:rPr>
        <w:t>расходы включают в себя расходы, часто связанные с критическими ситуациями (покупка лекарств, ремонт бытовой техники и др.).</w:t>
      </w:r>
    </w:p>
    <w:p w:rsidR="00DD3B2C" w:rsidRPr="00972F93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93">
        <w:rPr>
          <w:color w:val="000000"/>
          <w:sz w:val="28"/>
          <w:szCs w:val="28"/>
        </w:rPr>
        <w:t>Можно выделить и </w:t>
      </w:r>
      <w:r w:rsidRPr="00972F93">
        <w:rPr>
          <w:i/>
          <w:iCs/>
          <w:color w:val="000000"/>
          <w:sz w:val="28"/>
          <w:szCs w:val="28"/>
        </w:rPr>
        <w:t>единовременные </w:t>
      </w:r>
      <w:r w:rsidRPr="00972F93">
        <w:rPr>
          <w:color w:val="000000"/>
          <w:sz w:val="28"/>
          <w:szCs w:val="28"/>
        </w:rPr>
        <w:t>расходы. Это приобретение произведений искусства, украшений и т. д.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Расходы семьи, их статьи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Перейдем к правому столбцу бюджетной таблицы – расходам семьи (таблица). Ведь именно эта составляющая семейного бюджета требует особого внимания. Именно размер расходов является определяющим для наличия сбережений и их величины. По своей сути, прежде всего контроль над расходами является причиной составления семейного бюджета. Существует множество классификаций семейных расходов. В рамках данного урока мы познакомимся с одной из них, представленной в таблице</w:t>
      </w: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7"/>
        <w:gridCol w:w="137"/>
        <w:gridCol w:w="6791"/>
      </w:tblGrid>
      <w:tr w:rsidR="00DD3B2C" w:rsidRPr="00C51198" w:rsidTr="00F33502"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расходов</w:t>
            </w:r>
          </w:p>
        </w:tc>
        <w:tc>
          <w:tcPr>
            <w:tcW w:w="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Примерный состав</w:t>
            </w:r>
          </w:p>
        </w:tc>
      </w:tr>
      <w:tr w:rsidR="00DD3B2C" w:rsidRPr="00C51198" w:rsidTr="00F33502">
        <w:tc>
          <w:tcPr>
            <w:tcW w:w="253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Обязательные платежи</w:t>
            </w:r>
          </w:p>
        </w:tc>
        <w:tc>
          <w:tcPr>
            <w:tcW w:w="13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Налоги, квартплата, страховка, по кредиту, образование</w:t>
            </w:r>
          </w:p>
        </w:tc>
      </w:tr>
      <w:tr w:rsidR="00DD3B2C" w:rsidRPr="00C51198" w:rsidTr="00F33502">
        <w:tc>
          <w:tcPr>
            <w:tcW w:w="253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Текущие регулярные расходы</w:t>
            </w:r>
          </w:p>
        </w:tc>
        <w:tc>
          <w:tcPr>
            <w:tcW w:w="13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Стандартный для семьи набор продуктов питания, средства гигиены и бытовой химии, транспорт, связь</w:t>
            </w:r>
          </w:p>
        </w:tc>
      </w:tr>
      <w:tr w:rsidR="00DD3B2C" w:rsidRPr="00C51198" w:rsidTr="00F33502">
        <w:tc>
          <w:tcPr>
            <w:tcW w:w="253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Текущие нерегулярные расходы</w:t>
            </w:r>
          </w:p>
        </w:tc>
        <w:tc>
          <w:tcPr>
            <w:tcW w:w="13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Одежда, обувь, досуг, семейные торжества</w:t>
            </w:r>
          </w:p>
        </w:tc>
      </w:tr>
      <w:tr w:rsidR="00DD3B2C" w:rsidRPr="00C51198" w:rsidTr="00F33502">
        <w:tc>
          <w:tcPr>
            <w:tcW w:w="253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Крупные покупки</w:t>
            </w:r>
          </w:p>
        </w:tc>
        <w:tc>
          <w:tcPr>
            <w:tcW w:w="137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Мебель, крупная бытовая техника, отпуск</w:t>
            </w:r>
          </w:p>
        </w:tc>
      </w:tr>
      <w:tr w:rsidR="00DD3B2C" w:rsidRPr="00C51198" w:rsidTr="00F33502">
        <w:tc>
          <w:tcPr>
            <w:tcW w:w="253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Непредвиденные расходы</w:t>
            </w:r>
          </w:p>
        </w:tc>
        <w:tc>
          <w:tcPr>
            <w:tcW w:w="137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vAlign w:val="center"/>
            <w:hideMark/>
          </w:tcPr>
          <w:p w:rsidR="00DD3B2C" w:rsidRPr="00C51198" w:rsidRDefault="00DD3B2C" w:rsidP="00F33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Лекарства, штрафы, ремонт автомобиля или крупной бытовой техники.</w:t>
            </w:r>
          </w:p>
        </w:tc>
      </w:tr>
    </w:tbl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будем выполнять работу в парах. Вы получите листы, на которых написаны названия товаров. Выберите те товары, которые вы посчитаете </w:t>
      </w:r>
      <w:proofErr w:type="gramStart"/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</w:t>
      </w:r>
      <w:proofErr w:type="gramEnd"/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приобретения на месяц. Не забудьте, что существует ряд услуг, которыми мы пользуемся каждый месяц. Их также надо отметить в вашем списке галочкой. Не забудьте обсудить с соседом по парте ваши решения. Выберите то, на что вы потратите свой месячный бюджет.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товаров и услуг</w:t>
      </w:r>
    </w:p>
    <w:tbl>
      <w:tblPr>
        <w:tblW w:w="616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97"/>
        <w:gridCol w:w="1528"/>
        <w:gridCol w:w="1040"/>
      </w:tblGrid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Товар или услуга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Цена, руб.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Ваш выбор</w:t>
            </w: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Лекарства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Обувь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Бытовая химия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(спортивная) школа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Платежи и налоги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 с фильмами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цирка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боулинга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Туристическая поездка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 в кино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Мороженое, конфеты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B2C" w:rsidRPr="00C51198" w:rsidTr="00F33502">
        <w:tc>
          <w:tcPr>
            <w:tcW w:w="3597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528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inset" w:sz="18" w:space="0" w:color="555555"/>
              <w:left w:val="inset" w:sz="18" w:space="0" w:color="555555"/>
              <w:bottom w:val="inset" w:sz="18" w:space="0" w:color="555555"/>
              <w:right w:val="inset" w:sz="1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D3B2C" w:rsidRPr="00C51198" w:rsidRDefault="00DD3B2C" w:rsidP="00F3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своих листах проставьте цены рядом с выбранными вами товарами и услугами.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сумма у вас получилась</w:t>
      </w:r>
      <w:proofErr w:type="gramStart"/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C51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(…)</w:t>
      </w:r>
      <w:proofErr w:type="gramEnd"/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вам скажу, что бюджет вашей семьи рассчитан на 100 единиц в месяц.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 кого сумма больше этой цифры</w:t>
      </w:r>
      <w:proofErr w:type="gramStart"/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C51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(…)</w:t>
      </w:r>
      <w:proofErr w:type="gramEnd"/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образовалось в вашем бюджете? </w:t>
      </w:r>
      <w:r w:rsidRPr="00C51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(дефицит, нехватка средств, денег)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сумма меньше 100</w:t>
      </w:r>
      <w:proofErr w:type="gramStart"/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1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(…)</w:t>
      </w: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вы смогли сделать? </w:t>
      </w:r>
      <w:r w:rsidRPr="00C51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(отложить сбережения)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это всё условные цифры. Но что делать, если мы не укладываемся в бюджет? Что можно сократить?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Где можно сэкономить?</w:t>
      </w: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1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(электроэнергию: выключать свет, воду: выключать, экономно расходовать, …бережно относиться к одежде и обуви, чтобы она дольше служила,, развлечения, сладости...)</w:t>
      </w:r>
      <w:proofErr w:type="gramEnd"/>
      <w:r w:rsidRPr="00C51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5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на чём нельзя экономить?</w:t>
      </w: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1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отдыхе, еде, здоровье, вещах первой необходимости.)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просто поиграли в семейный бюджет. А представьте ваших родителей, которые не играют, а каждый месяц зарабатывают деньги и рассчитывают, на что в первую очередь их потратить, а с чем подождать.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не обижайтесь, если вы слышите в ответ на свою просьбу: “Сейчас на это нет денег”. Это не значит, что у родителей нет денег в кошельке – они есть, но не для этого.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прежде чем обижаться, расстраиваться и требовать чего-либо, поговорите с </w:t>
      </w:r>
      <w:r w:rsidRPr="00C511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и посчитайте ваш семейный бюджет.</w:t>
      </w:r>
    </w:p>
    <w:p w:rsidR="00DD3B2C" w:rsidRPr="0069238B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Расходы семьи в значительной степени характеризуют уровень жизни её членов. При оценке уровня жизни в качестве ориентира используется потребительская корзина. 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Потребительская корзина</w:t>
      </w:r>
      <w:r w:rsidRPr="00C51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511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минимальный набор продуктов, товаров и услуг, необходимый для жизнедеятельности человека. Используется для расчета величины прожиточного минимума.</w:t>
      </w:r>
    </w:p>
    <w:p w:rsidR="00DD3B2C" w:rsidRPr="00C51198" w:rsidRDefault="00DD3B2C" w:rsidP="00DD3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корзины состоит из трех частей: продукты питания (50%), непродовольственные товары (25%) и услуги (25%). Объем потребления рассчитывается в среднем на одного человека для каждой из основных социально-демографических групп населения: трудоспособное население, пенсионеры и дети.</w:t>
      </w:r>
    </w:p>
    <w:p w:rsidR="00DD3B2C" w:rsidRPr="0069238B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9238B">
        <w:rPr>
          <w:sz w:val="28"/>
          <w:szCs w:val="28"/>
        </w:rPr>
        <w:t>Потребительская корзина устанавливается в целом по стране. По закону она пересчитывается не реже одного раза в пять лет.</w:t>
      </w:r>
    </w:p>
    <w:p w:rsidR="00DD3B2C" w:rsidRPr="0069238B" w:rsidRDefault="00DD3B2C" w:rsidP="00DD3B2C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9238B">
        <w:rPr>
          <w:sz w:val="28"/>
          <w:szCs w:val="28"/>
        </w:rPr>
        <w:t>Структура расходов семьи зависит от ряда факторов: размера доходов, состава членов семьи, их вкусов и предпочтений, культурного уровня и экономической ситуации в стране. Об уровне благосостояния населения можно судить по доле расходов на питание: чем меньше удельный вес расходов на питание в общей структуре расходов, тем выше уровень благосостояния граждан данной страны.</w:t>
      </w:r>
    </w:p>
    <w:p w:rsidR="00DD3B2C" w:rsidRDefault="00DD3B2C" w:rsidP="00DD3B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B2C" w:rsidRPr="003139DE" w:rsidRDefault="00DD3B2C" w:rsidP="00DD3B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Ответы на вопросы направить по адресу 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saica</w:t>
      </w:r>
      <w:proofErr w:type="spellEnd"/>
      <w:r w:rsidRPr="00B870C1">
        <w:rPr>
          <w:color w:val="548DD4" w:themeColor="text2" w:themeTint="99"/>
          <w:sz w:val="32"/>
          <w:szCs w:val="32"/>
        </w:rPr>
        <w:t>1287@</w:t>
      </w:r>
      <w:r w:rsidRPr="00B870C1">
        <w:rPr>
          <w:color w:val="548DD4" w:themeColor="text2" w:themeTint="99"/>
          <w:sz w:val="32"/>
          <w:szCs w:val="32"/>
          <w:lang w:val="en-US"/>
        </w:rPr>
        <w:t>mail</w:t>
      </w:r>
      <w:r w:rsidRPr="00B870C1">
        <w:rPr>
          <w:color w:val="548DD4" w:themeColor="text2" w:themeTint="99"/>
          <w:sz w:val="32"/>
          <w:szCs w:val="32"/>
        </w:rPr>
        <w:t>.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ru</w:t>
      </w:r>
      <w:proofErr w:type="spellEnd"/>
    </w:p>
    <w:p w:rsidR="00B436F4" w:rsidRDefault="00B436F4"/>
    <w:sectPr w:rsidR="00B436F4" w:rsidSect="00B4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6C" w:rsidRDefault="00E07E6C" w:rsidP="00DD3B2C">
      <w:pPr>
        <w:spacing w:after="0" w:line="240" w:lineRule="auto"/>
      </w:pPr>
      <w:r>
        <w:separator/>
      </w:r>
    </w:p>
  </w:endnote>
  <w:endnote w:type="continuationSeparator" w:id="0">
    <w:p w:rsidR="00E07E6C" w:rsidRDefault="00E07E6C" w:rsidP="00DD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6C" w:rsidRDefault="00E07E6C" w:rsidP="00DD3B2C">
      <w:pPr>
        <w:spacing w:after="0" w:line="240" w:lineRule="auto"/>
      </w:pPr>
      <w:r>
        <w:separator/>
      </w:r>
    </w:p>
  </w:footnote>
  <w:footnote w:type="continuationSeparator" w:id="0">
    <w:p w:rsidR="00E07E6C" w:rsidRDefault="00E07E6C" w:rsidP="00DD3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B2C"/>
    <w:rsid w:val="00B436F4"/>
    <w:rsid w:val="00DD3B2C"/>
    <w:rsid w:val="00E0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2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3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3B2C"/>
  </w:style>
  <w:style w:type="paragraph" w:styleId="a5">
    <w:name w:val="footer"/>
    <w:basedOn w:val="a"/>
    <w:link w:val="a6"/>
    <w:uiPriority w:val="99"/>
    <w:semiHidden/>
    <w:unhideWhenUsed/>
    <w:rsid w:val="00DD3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3B2C"/>
  </w:style>
  <w:style w:type="paragraph" w:styleId="a7">
    <w:name w:val="Normal (Web)"/>
    <w:basedOn w:val="a"/>
    <w:uiPriority w:val="99"/>
    <w:semiHidden/>
    <w:unhideWhenUsed/>
    <w:rsid w:val="00DD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2022-01-26T19:17:00Z</dcterms:created>
  <dcterms:modified xsi:type="dcterms:W3CDTF">2022-01-26T19:20:00Z</dcterms:modified>
</cp:coreProperties>
</file>