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spacing w:lineRule="atLeast" w:line="294" w:after="0" w:afterAutospacing="0" w:before="0" w:beforeAutospacing="0"/>
        <w:shd w:val="clear" w:fill="FFFFFF" w:color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Предмет: </w:t>
      </w:r>
      <w:r>
        <w:rPr>
          <w:bCs/>
          <w:color w:val="000000"/>
          <w:sz w:val="28"/>
          <w:szCs w:val="28"/>
        </w:rPr>
        <w:t xml:space="preserve">ОБЖ</w:t>
      </w:r>
      <w:r/>
    </w:p>
    <w:p>
      <w:pPr>
        <w:pStyle w:val="644"/>
        <w:spacing w:lineRule="atLeast" w:line="294" w:after="0" w:afterAutospacing="0" w:before="0" w:beforeAutospacing="0"/>
        <w:shd w:val="clear" w:fill="FFFFFF" w:color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Преподаватель: </w:t>
      </w:r>
      <w:r>
        <w:rPr>
          <w:bCs/>
          <w:color w:val="000000"/>
          <w:sz w:val="28"/>
          <w:szCs w:val="28"/>
        </w:rPr>
        <w:t xml:space="preserve">Гусейнова А.</w:t>
      </w:r>
      <w:r/>
    </w:p>
    <w:p>
      <w:pPr>
        <w:pStyle w:val="644"/>
        <w:spacing w:lineRule="atLeast" w:line="294" w:after="0" w:afterAutospacing="0" w:before="0" w:beforeAutospacing="0"/>
        <w:shd w:val="clear" w:fill="FFFFFF" w:color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Группа: </w:t>
      </w:r>
      <w:r>
        <w:rPr>
          <w:bCs/>
          <w:color w:val="000000"/>
          <w:sz w:val="28"/>
          <w:szCs w:val="28"/>
        </w:rPr>
        <w:t xml:space="preserve">1- 8</w:t>
      </w:r>
      <w:r/>
    </w:p>
    <w:p>
      <w:pPr>
        <w:pStyle w:val="644"/>
        <w:spacing w:lineRule="atLeast" w:line="294" w:after="0" w:afterAutospacing="0" w:before="0" w:beforeAutospacing="0"/>
        <w:shd w:val="clear" w:fill="FFFFFF" w:color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Специальность </w:t>
      </w:r>
      <w:r>
        <w:rPr>
          <w:bCs/>
          <w:color w:val="000000"/>
          <w:sz w:val="28"/>
          <w:szCs w:val="28"/>
        </w:rPr>
        <w:t xml:space="preserve">мастер по ремонту и обслуживанию автомобилей</w:t>
      </w:r>
      <w:r/>
    </w:p>
    <w:p>
      <w:pPr>
        <w:pStyle w:val="644"/>
        <w:spacing w:lineRule="atLeast" w:line="294" w:after="0" w:afterAutospacing="0" w:before="0" w:beforeAutospacing="0"/>
        <w:shd w:val="clear" w:fill="FFFFFF" w:color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Дата проведения: </w:t>
      </w:r>
      <w:r>
        <w:rPr>
          <w:bCs/>
          <w:color w:val="000000"/>
          <w:sz w:val="28"/>
          <w:szCs w:val="28"/>
        </w:rPr>
        <w:t xml:space="preserve">03.02</w:t>
      </w:r>
      <w:r>
        <w:rPr>
          <w:bCs/>
          <w:color w:val="000000"/>
          <w:sz w:val="28"/>
          <w:szCs w:val="28"/>
        </w:rPr>
        <w:t xml:space="preserve">.2022г.</w:t>
      </w:r>
      <w:r/>
    </w:p>
    <w:p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Виды ран и общие правила оказания первой медицинской помощи.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Изучение новой темы.</w:t>
      </w:r>
      <w:r/>
    </w:p>
    <w:p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Раны – </w:t>
      </w:r>
      <w:r>
        <w:rPr>
          <w:rFonts w:ascii="Times New Roman" w:hAnsi="Times New Roman" w:cs="Times New Roman"/>
          <w:sz w:val="28"/>
          <w:szCs w:val="28"/>
        </w:rPr>
        <w:t xml:space="preserve">нарушение целостности кожи и слизистых оболочек, распространяющееся на глубоколежащие ткани, под воздействием физических факторов внешней среды.</w:t>
      </w:r>
      <w:r/>
    </w:p>
    <w:p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Раны возникают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Прямом </w:t>
      </w:r>
      <w:r>
        <w:rPr>
          <w:rFonts w:ascii="Times New Roman" w:hAnsi="Times New Roman" w:cs="Times New Roman"/>
          <w:sz w:val="28"/>
          <w:szCs w:val="28"/>
        </w:rPr>
        <w:t xml:space="preserve">ударе</w:t>
      </w:r>
      <w:r>
        <w:rPr>
          <w:rFonts w:ascii="Times New Roman" w:hAnsi="Times New Roman" w:cs="Times New Roman"/>
          <w:sz w:val="28"/>
          <w:szCs w:val="28"/>
        </w:rPr>
        <w:t xml:space="preserve"> жестким предметом;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Падении</w:t>
      </w:r>
      <w:r>
        <w:rPr>
          <w:rFonts w:ascii="Times New Roman" w:hAnsi="Times New Roman" w:cs="Times New Roman"/>
          <w:sz w:val="28"/>
          <w:szCs w:val="28"/>
        </w:rPr>
        <w:t xml:space="preserve"> с высоты собственного тела и с большой высоты;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Агрессивном </w:t>
      </w:r>
      <w:r>
        <w:rPr>
          <w:rFonts w:ascii="Times New Roman" w:hAnsi="Times New Roman" w:cs="Times New Roman"/>
          <w:sz w:val="28"/>
          <w:szCs w:val="28"/>
        </w:rPr>
        <w:t xml:space="preserve">поведении</w:t>
      </w:r>
      <w:r>
        <w:rPr>
          <w:rFonts w:ascii="Times New Roman" w:hAnsi="Times New Roman" w:cs="Times New Roman"/>
          <w:sz w:val="28"/>
          <w:szCs w:val="28"/>
        </w:rPr>
        <w:t xml:space="preserve"> животных;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Воздействии</w:t>
      </w:r>
      <w:r>
        <w:rPr>
          <w:rFonts w:ascii="Times New Roman" w:hAnsi="Times New Roman" w:cs="Times New Roman"/>
          <w:sz w:val="28"/>
          <w:szCs w:val="28"/>
        </w:rPr>
        <w:t xml:space="preserve"> колюще-режущих предметов;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Воздействии</w:t>
      </w:r>
      <w:r>
        <w:rPr>
          <w:rFonts w:ascii="Times New Roman" w:hAnsi="Times New Roman" w:cs="Times New Roman"/>
          <w:sz w:val="28"/>
          <w:szCs w:val="28"/>
        </w:rPr>
        <w:t xml:space="preserve"> огнестрельных факторов.</w:t>
      </w:r>
      <w:r/>
    </w:p>
    <w:p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зависимости от действия различных факторов раны бывают: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Колотые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(штыком, иглой и т.п.).</w:t>
      </w:r>
      <w:r/>
    </w:p>
    <w:p>
      <w:pPr>
        <w:numPr>
          <w:ilvl w:val="0"/>
          <w:numId w:val="4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Опасность повреждения глубоколежащих тканей и органов. Часто без признаков наружного кровотечения.</w:t>
      </w:r>
      <w:r/>
    </w:p>
    <w:p>
      <w:pPr>
        <w:numPr>
          <w:ilvl w:val="0"/>
          <w:numId w:val="4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риск развития инфекции.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Резаные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(ножом, стеклом и т.п.).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Отличаются зиянием краев раны и наружным кровотечением. Более благоприятны в плане последующего заживления.</w:t>
      </w:r>
      <w:r/>
    </w:p>
    <w:p>
      <w:pPr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Инфекционные осложнения.</w:t>
      </w:r>
      <w:r/>
    </w:p>
    <w:p>
      <w:pPr>
        <w:numPr>
          <w:ilvl w:val="0"/>
          <w:numId w:val="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Рубленные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(топором, шашкой и т.п.).</w:t>
      </w:r>
      <w:r/>
    </w:p>
    <w:p>
      <w:pPr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Проявляются глубоким и массивным повреждением тканей. Имеют место наружное кровотечение и широкое зияние раны.</w:t>
      </w:r>
      <w:r/>
    </w:p>
    <w:p>
      <w:pPr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риск инфицирования.</w:t>
      </w:r>
      <w:r/>
    </w:p>
    <w:p>
      <w:pPr>
        <w:numPr>
          <w:ilvl w:val="0"/>
          <w:numId w:val="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Рваные или ушибленные </w:t>
      </w:r>
      <w:r>
        <w:rPr>
          <w:rFonts w:ascii="Times New Roman" w:hAnsi="Times New Roman" w:cs="Times New Roman"/>
          <w:sz w:val="28"/>
          <w:szCs w:val="28"/>
        </w:rPr>
        <w:t xml:space="preserve">(следствие воздействия относительно острого твердого предмета).</w:t>
      </w:r>
      <w:r/>
    </w:p>
    <w:p>
      <w:pPr>
        <w:numPr>
          <w:ilvl w:val="0"/>
          <w:numId w:val="8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Отличаются большим количеством ушибленных и размятых тканей.</w:t>
      </w:r>
      <w:r/>
    </w:p>
    <w:p>
      <w:pPr>
        <w:numPr>
          <w:ilvl w:val="0"/>
          <w:numId w:val="8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риск инфицирования.</w:t>
      </w:r>
      <w:r/>
    </w:p>
    <w:p>
      <w:pPr>
        <w:numPr>
          <w:ilvl w:val="0"/>
          <w:numId w:val="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Укушенные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(нанесены зубами животного или человека).</w:t>
      </w:r>
      <w:r/>
    </w:p>
    <w:p>
      <w:pPr>
        <w:numPr>
          <w:ilvl w:val="0"/>
          <w:numId w:val="9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Сопровождаются повреждением тканей и инфицированием очень опасной микробной флорой полости рта.</w:t>
      </w:r>
      <w:r/>
    </w:p>
    <w:p>
      <w:pPr>
        <w:numPr>
          <w:ilvl w:val="0"/>
          <w:numId w:val="9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сопровождаются воспалительным процессом той или иной степени.</w:t>
      </w:r>
      <w:r/>
    </w:p>
    <w:p>
      <w:pPr>
        <w:numPr>
          <w:ilvl w:val="0"/>
          <w:numId w:val="9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 инфицирования и заражения бешенством.</w:t>
      </w:r>
      <w:r/>
    </w:p>
    <w:p>
      <w:pPr>
        <w:numPr>
          <w:ilvl w:val="0"/>
          <w:numId w:val="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Сочетанные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колоторезанные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рубленорваные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numPr>
          <w:ilvl w:val="0"/>
          <w:numId w:val="10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Сопровождаются повреждением тканей и инфицированием.</w:t>
      </w:r>
      <w:r/>
    </w:p>
    <w:p>
      <w:pPr>
        <w:numPr>
          <w:ilvl w:val="0"/>
          <w:numId w:val="10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сопровождаются воспалительным процессом той или иной степени. Риск инфекции и заражения столбняком.</w:t>
      </w:r>
      <w:r/>
    </w:p>
    <w:p>
      <w:pPr>
        <w:numPr>
          <w:ilvl w:val="0"/>
          <w:numId w:val="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Огнестрельные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(пулями, осколками и т.п.).</w:t>
      </w:r>
      <w:r/>
    </w:p>
    <w:p>
      <w:pPr>
        <w:numPr>
          <w:ilvl w:val="0"/>
          <w:numId w:val="11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Отличаются массивным характером и сложностью повреждений тканей, высокой степенью микробного загрязнения.</w:t>
      </w:r>
      <w:r/>
    </w:p>
    <w:p>
      <w:pPr>
        <w:numPr>
          <w:ilvl w:val="0"/>
          <w:numId w:val="11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сопровождаются кровотечением, массивными повреждениями тканей, костей, внутренних органов.</w:t>
      </w:r>
      <w:r/>
    </w:p>
    <w:p>
      <w:pPr>
        <w:numPr>
          <w:ilvl w:val="0"/>
          <w:numId w:val="11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инфицированы.</w:t>
      </w:r>
      <w:r/>
    </w:p>
    <w:p>
      <w:pPr>
        <w:numPr>
          <w:ilvl w:val="0"/>
          <w:numId w:val="11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риск развития шока, инфекции, сепсиса.</w:t>
      </w:r>
      <w:r/>
    </w:p>
    <w:p>
      <w:pPr>
        <w:numPr>
          <w:ilvl w:val="0"/>
          <w:numId w:val="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Отравленные </w:t>
      </w:r>
      <w:r>
        <w:rPr>
          <w:rFonts w:ascii="Times New Roman" w:hAnsi="Times New Roman" w:cs="Times New Roman"/>
          <w:sz w:val="28"/>
          <w:szCs w:val="28"/>
        </w:rPr>
        <w:t xml:space="preserve">(раны, в которые попадает яд).</w:t>
      </w:r>
      <w:r/>
    </w:p>
    <w:p>
      <w:pPr>
        <w:numPr>
          <w:ilvl w:val="0"/>
          <w:numId w:val="12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Тяжесть ран определяются ядовитыми свойствами вещества, попадающие в рану.</w:t>
      </w:r>
      <w:r/>
    </w:p>
    <w:p>
      <w:pPr>
        <w:numPr>
          <w:ilvl w:val="0"/>
          <w:numId w:val="12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Омертвление тканей в зоне укуса, общее токсическое поражение организма, наступление смерти.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Неглубокие раны с повреждением только поверхностных слоев кожи называются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царапинами.</w:t>
      </w:r>
      <w:r/>
    </w:p>
    <w:p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Осложнения и опасности ран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момент ранения в рану могут попасть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частицы одежды, осколки дерева, ядовитые вещества</w:t>
      </w:r>
      <w:r>
        <w:rPr>
          <w:rFonts w:ascii="Times New Roman" w:hAnsi="Times New Roman" w:cs="Times New Roman"/>
          <w:sz w:val="28"/>
          <w:szCs w:val="28"/>
        </w:rPr>
        <w:t xml:space="preserve">. Любое ранение сопровождается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кровотечением</w:t>
      </w:r>
      <w:r>
        <w:rPr>
          <w:rFonts w:ascii="Times New Roman" w:hAnsi="Times New Roman" w:cs="Times New Roman"/>
          <w:sz w:val="28"/>
          <w:szCs w:val="28"/>
        </w:rPr>
        <w:t xml:space="preserve"> и связано с </w:t>
      </w:r>
      <w:r>
        <w:rPr>
          <w:rFonts w:ascii="Times New Roman" w:hAnsi="Times New Roman" w:cs="Times New Roman"/>
          <w:b/>
          <w:sz w:val="28"/>
          <w:szCs w:val="28"/>
        </w:rPr>
        <w:t xml:space="preserve">болью.</w:t>
      </w:r>
      <w:r>
        <w:rPr>
          <w:rFonts w:ascii="Times New Roman" w:hAnsi="Times New Roman" w:cs="Times New Roman"/>
          <w:sz w:val="28"/>
          <w:szCs w:val="28"/>
        </w:rPr>
        <w:t xml:space="preserve"> Кроме того, ранение сопровождается ограничением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нарушением функций органов</w:t>
      </w:r>
      <w:r>
        <w:rPr>
          <w:rFonts w:ascii="Times New Roman" w:hAnsi="Times New Roman" w:cs="Times New Roman"/>
          <w:sz w:val="28"/>
          <w:szCs w:val="28"/>
        </w:rPr>
        <w:t xml:space="preserve"> и тканей, капиллярным или смешанным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кровотечением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1. Кровотечение: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кровь из раны вытекает наружу –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наружное кровотечение</w:t>
      </w:r>
      <w:r>
        <w:rPr>
          <w:rFonts w:ascii="Times New Roman" w:hAnsi="Times New Roman" w:cs="Times New Roman"/>
          <w:sz w:val="28"/>
          <w:szCs w:val="28"/>
        </w:rPr>
        <w:t xml:space="preserve"> (выражено при рубленых и глубоких резаных ранах);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кровотечение в полости тела и внутренние ткани – </w:t>
      </w:r>
      <w:r>
        <w:rPr>
          <w:rFonts w:ascii="Times New Roman" w:hAnsi="Times New Roman" w:cs="Times New Roman"/>
          <w:b/>
          <w:sz w:val="28"/>
          <w:szCs w:val="28"/>
        </w:rPr>
        <w:t xml:space="preserve">внутреннее кровотечение</w:t>
      </w:r>
      <w:r>
        <w:rPr>
          <w:rFonts w:ascii="Times New Roman" w:hAnsi="Times New Roman" w:cs="Times New Roman"/>
          <w:sz w:val="28"/>
          <w:szCs w:val="28"/>
        </w:rPr>
        <w:t xml:space="preserve"> (разрывы печени, селезенки, почек и крупных сосудов).</w:t>
      </w:r>
      <w:r/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Инфекция: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рану из внешней среды попадают </w:t>
      </w:r>
      <w:r>
        <w:rPr>
          <w:rFonts w:ascii="Times New Roman" w:hAnsi="Times New Roman" w:cs="Times New Roman"/>
          <w:b/>
          <w:sz w:val="28"/>
          <w:szCs w:val="28"/>
        </w:rPr>
        <w:t xml:space="preserve">гноеродные бактерии</w:t>
      </w:r>
      <w:r>
        <w:rPr>
          <w:rFonts w:ascii="Times New Roman" w:hAnsi="Times New Roman" w:cs="Times New Roman"/>
          <w:sz w:val="28"/>
          <w:szCs w:val="28"/>
        </w:rPr>
        <w:t xml:space="preserve">. Они часто вызывают гнойный воспалительный процесс. Такие раны заживают длительно с формированием обезображивающих рубцов;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рану могут попасть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возбудители столбняка</w:t>
      </w:r>
      <w:r>
        <w:rPr>
          <w:rFonts w:ascii="Times New Roman" w:hAnsi="Times New Roman" w:cs="Times New Roman"/>
          <w:sz w:val="28"/>
          <w:szCs w:val="28"/>
        </w:rPr>
        <w:t xml:space="preserve"> (вместе с землей, пылью, испражнениями человека и животных). Развивается заболевание, проявляющееся сведением мышц шеи (в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с чем наблюдаются трудности при жевании и глотании), околоротовых, спинных мышц и, наконец, общими судорогами с неуправляемыми сокращениями дыхательной мускулатуры и удушьем. Смерть наступает от дыхательной и сердечной недостаточности.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заражении раны </w:t>
      </w:r>
      <w:r>
        <w:rPr>
          <w:rFonts w:ascii="Times New Roman" w:hAnsi="Times New Roman" w:cs="Times New Roman"/>
          <w:b/>
          <w:sz w:val="28"/>
          <w:szCs w:val="28"/>
        </w:rPr>
        <w:t xml:space="preserve">анаэробными микробами – </w:t>
      </w:r>
      <w:r>
        <w:rPr>
          <w:rFonts w:ascii="Times New Roman" w:hAnsi="Times New Roman" w:cs="Times New Roman"/>
          <w:b/>
          <w:sz w:val="28"/>
          <w:szCs w:val="28"/>
        </w:rPr>
        <w:t xml:space="preserve">клостридиями</w:t>
      </w:r>
      <w:r>
        <w:rPr>
          <w:rFonts w:ascii="Times New Roman" w:hAnsi="Times New Roman" w:cs="Times New Roman"/>
          <w:sz w:val="28"/>
          <w:szCs w:val="28"/>
        </w:rPr>
        <w:t xml:space="preserve"> (размножающимися в инфицированных ранах без доступа воздуха) развивается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газовая гангрена</w:t>
      </w:r>
      <w:r>
        <w:rPr>
          <w:rFonts w:ascii="Times New Roman" w:hAnsi="Times New Roman" w:cs="Times New Roman"/>
          <w:sz w:val="28"/>
          <w:szCs w:val="28"/>
        </w:rPr>
        <w:t xml:space="preserve">. При быстром </w:t>
      </w:r>
      <w:r>
        <w:rPr>
          <w:rFonts w:ascii="Times New Roman" w:hAnsi="Times New Roman" w:cs="Times New Roman"/>
          <w:sz w:val="28"/>
          <w:szCs w:val="28"/>
        </w:rPr>
        <w:t xml:space="preserve">ее распространении и проникновении возбудителя в кровь, а также при отсутствии своевременного медицинского вмешательства наступает неминуемая гибель пострадавшего.</w:t>
      </w:r>
      <w:r/>
    </w:p>
    <w:p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Первая медицинская помощь при ранении:</w:t>
      </w:r>
      <w:r/>
    </w:p>
    <w:p>
      <w:pPr>
        <w:numPr>
          <w:ilvl w:val="0"/>
          <w:numId w:val="1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Прекращение действия травмирующих факторов.</w:t>
      </w:r>
      <w:r/>
    </w:p>
    <w:p>
      <w:pPr>
        <w:numPr>
          <w:ilvl w:val="0"/>
          <w:numId w:val="1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кровотечения.</w:t>
      </w:r>
      <w:r/>
    </w:p>
    <w:p>
      <w:pPr>
        <w:numPr>
          <w:ilvl w:val="0"/>
          <w:numId w:val="1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раны.</w:t>
      </w:r>
      <w:r/>
    </w:p>
    <w:p>
      <w:pPr>
        <w:numPr>
          <w:ilvl w:val="0"/>
          <w:numId w:val="1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Наложение стерильной повязки.</w:t>
      </w:r>
      <w:r/>
    </w:p>
    <w:p>
      <w:pPr>
        <w:numPr>
          <w:ilvl w:val="0"/>
          <w:numId w:val="1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Обездвиживание тела подручными средствами.</w:t>
      </w:r>
      <w:r/>
    </w:p>
    <w:p>
      <w:pPr>
        <w:numPr>
          <w:ilvl w:val="0"/>
          <w:numId w:val="1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Обезболивание.</w:t>
      </w:r>
      <w:r/>
    </w:p>
    <w:p>
      <w:pPr>
        <w:numPr>
          <w:ilvl w:val="0"/>
          <w:numId w:val="13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или вызов «скорой помощи» пострадавшему.</w:t>
      </w:r>
      <w:r/>
    </w:p>
    <w:p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Правовые аспекты оказания первой медицинской помощи.</w:t>
      </w:r>
      <w:r/>
    </w:p>
    <w:p>
      <w:pPr>
        <w:numPr>
          <w:ilvl w:val="0"/>
          <w:numId w:val="14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передвижение пострадавшего должно осуществляться лишь в том случае, если его жизни угрожает опасность;</w:t>
      </w:r>
      <w:r/>
    </w:p>
    <w:p>
      <w:pPr>
        <w:numPr>
          <w:ilvl w:val="0"/>
          <w:numId w:val="14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оказания первой медицинской помощи убедитесь в наличии дыхания и пульса, обеспечьте проходимость дыхания;</w:t>
      </w:r>
      <w:r/>
    </w:p>
    <w:p>
      <w:pPr>
        <w:numPr>
          <w:ilvl w:val="0"/>
          <w:numId w:val="14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вызовите «скорую помощь»;</w:t>
      </w:r>
      <w:r/>
    </w:p>
    <w:p>
      <w:pPr>
        <w:numPr>
          <w:ilvl w:val="0"/>
          <w:numId w:val="14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ее прибытия продолжайте оказывать первую помощь, если пострадавший находится в критическом состоянии;</w:t>
      </w:r>
      <w:r/>
    </w:p>
    <w:p>
      <w:pPr>
        <w:numPr>
          <w:ilvl w:val="0"/>
          <w:numId w:val="14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пострадавший находится в сознании, спросите его разрешения на оказание первой медицинской помощи.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Обработка раны</w:t>
      </w:r>
      <w:r/>
    </w:p>
    <w:p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/>
    </w:p>
    <w:p>
      <w:pPr>
        <w:numPr>
          <w:ilvl w:val="0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Промывание раны перекисью водорода.</w:t>
      </w:r>
      <w:r/>
    </w:p>
    <w:p>
      <w:pPr>
        <w:numPr>
          <w:ilvl w:val="0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Промывание раны струей раствора антисептика.</w:t>
      </w:r>
      <w:r/>
    </w:p>
    <w:p>
      <w:pPr>
        <w:numPr>
          <w:ilvl w:val="0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рана загрязнена масляными жидкостями, красками, необходимо удалить их вокруг раны при помощи бензина, керосина, растворителя.</w:t>
      </w:r>
      <w:r/>
    </w:p>
    <w:p>
      <w:pPr>
        <w:numPr>
          <w:ilvl w:val="0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кожи вокруг раны спиртовым раствором йода.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Если в ране находится инородное тело:</w:t>
      </w:r>
      <w:r/>
    </w:p>
    <w:p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/>
    </w:p>
    <w:p>
      <w:pPr>
        <w:numPr>
          <w:ilvl w:val="1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из раны доставать торчащие предметы.</w:t>
      </w:r>
      <w:r/>
    </w:p>
    <w:p>
      <w:pPr>
        <w:numPr>
          <w:ilvl w:val="1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Зафиксируйте торчащий предмет.</w:t>
      </w:r>
      <w:r/>
    </w:p>
    <w:p>
      <w:pPr>
        <w:numPr>
          <w:ilvl w:val="1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раны такая же, как без инородного тела.</w:t>
      </w:r>
      <w:r/>
    </w:p>
    <w:p>
      <w:pPr>
        <w:numPr>
          <w:ilvl w:val="1"/>
          <w:numId w:val="15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Повязку накладывайте вокруг торчащего предмета.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/>
    </w:p>
    <w:p>
      <w:pPr>
        <w:jc w:val="both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НЕЛЬЗЯ!</w:t>
      </w:r>
      <w:r/>
    </w:p>
    <w:p>
      <w:pPr>
        <w:numPr>
          <w:ilvl w:val="0"/>
          <w:numId w:val="1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Промывать рану водой из водоемов!</w:t>
      </w:r>
      <w:r/>
    </w:p>
    <w:p>
      <w:pPr>
        <w:numPr>
          <w:ilvl w:val="0"/>
          <w:numId w:val="1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Допускать попадания прижигающих </w:t>
      </w:r>
      <w:r>
        <w:rPr>
          <w:rFonts w:ascii="Times New Roman" w:hAnsi="Times New Roman" w:cs="Times New Roman"/>
          <w:sz w:val="28"/>
          <w:szCs w:val="28"/>
        </w:rPr>
        <w:t xml:space="preserve">интисептических</w:t>
      </w:r>
      <w:r>
        <w:rPr>
          <w:rFonts w:ascii="Times New Roman" w:hAnsi="Times New Roman" w:cs="Times New Roman"/>
          <w:sz w:val="28"/>
          <w:szCs w:val="28"/>
        </w:rPr>
        <w:t xml:space="preserve"> веществ на  раневую поверхность!</w:t>
      </w:r>
      <w:r/>
    </w:p>
    <w:p>
      <w:pPr>
        <w:numPr>
          <w:ilvl w:val="0"/>
          <w:numId w:val="1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Засыпать рану порошками!</w:t>
      </w:r>
      <w:r/>
    </w:p>
    <w:p>
      <w:pPr>
        <w:numPr>
          <w:ilvl w:val="0"/>
          <w:numId w:val="1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Накладывать на рану мазь!</w:t>
      </w:r>
      <w:r/>
    </w:p>
    <w:p>
      <w:pPr>
        <w:numPr>
          <w:ilvl w:val="0"/>
          <w:numId w:val="1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Прикладывать вату непосредственно к раневой поверхности!</w:t>
      </w:r>
      <w:r/>
    </w:p>
    <w:p>
      <w:pPr>
        <w:numPr>
          <w:ilvl w:val="0"/>
          <w:numId w:val="1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перевязки касаться поверхности раны руками!</w:t>
      </w:r>
      <w:r/>
    </w:p>
    <w:p>
      <w:pPr>
        <w:numPr>
          <w:ilvl w:val="0"/>
          <w:numId w:val="16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Делать перевязку грязными руками (по возможности протрите руки одеколоном, спиртом или водкой)!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Закрепление.</w:t>
      </w:r>
      <w:r/>
    </w:p>
    <w:p>
      <w:pPr>
        <w:numPr>
          <w:ilvl w:val="0"/>
          <w:numId w:val="17"/>
        </w:num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главные требования к обработке ран? </w:t>
      </w:r>
      <w:r/>
    </w:p>
    <w:p>
      <w:pPr>
        <w:numPr>
          <w:ilvl w:val="0"/>
          <w:numId w:val="17"/>
        </w:numPr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основных видов ран. </w:t>
      </w:r>
      <w:r/>
    </w:p>
    <w:p>
      <w:pPr>
        <w:numPr>
          <w:ilvl w:val="0"/>
          <w:numId w:val="17"/>
        </w:numPr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аспекты оказания ПМП.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Краткий конспект и ответы на вопросы прислать на ватцап 9382085542</w:t>
      </w:r>
      <w:r>
        <w:rPr>
          <w:rFonts w:ascii="Times New Roman" w:hAnsi="Times New Roman" w:cs="Times New Roman"/>
          <w:b/>
          <w:sz w:val="28"/>
          <w:szCs w:val="28"/>
        </w:rPr>
        <w:t xml:space="preserve">  с указанием ФИО и группы студента.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6" w:right="282" w:bottom="426" w:left="42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360"/>
        <w:tabs>
          <w:tab w:val="num" w:pos="435" w:leader="none"/>
        </w:tabs>
      </w:pPr>
      <w:rPr>
        <w:rFonts w:hint="default"/>
        <w:b/>
        <w:i/>
        <w:sz w:val="32"/>
      </w:rPr>
    </w:lvl>
    <w:lvl w:ilvl="1">
      <w:start w:val="1"/>
      <w:numFmt w:val="bullet"/>
      <w:isLgl w:val="false"/>
      <w:suff w:val="tab"/>
      <w:lvlText w:val=""/>
      <w:lvlJc w:val="left"/>
      <w:pPr>
        <w:ind w:left="1155" w:hanging="360"/>
        <w:tabs>
          <w:tab w:val="num" w:pos="1155" w:leader="none"/>
        </w:tabs>
      </w:pPr>
      <w:rPr>
        <w:rFonts w:ascii="Symbol" w:hAnsi="Symbol" w:hint="default"/>
        <w:b/>
        <w:i/>
        <w:sz w:val="32"/>
      </w:r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  <w:tabs>
          <w:tab w:val="num" w:pos="18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  <w:tabs>
          <w:tab w:val="num" w:pos="25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  <w:tabs>
          <w:tab w:val="num" w:pos="33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  <w:tabs>
          <w:tab w:val="num" w:pos="40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  <w:tabs>
          <w:tab w:val="num" w:pos="47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  <w:tabs>
          <w:tab w:val="num" w:pos="54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  <w:tabs>
          <w:tab w:val="num" w:pos="619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  <w:tabs>
          <w:tab w:val="num" w:pos="435" w:leader="none"/>
        </w:tabs>
      </w:pPr>
      <w:rPr>
        <w:rFonts w:hint="default"/>
        <w:sz w:val="32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  <w:tabs>
          <w:tab w:val="num" w:pos="11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  <w:tabs>
          <w:tab w:val="num" w:pos="18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  <w:tabs>
          <w:tab w:val="num" w:pos="25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  <w:tabs>
          <w:tab w:val="num" w:pos="33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  <w:tabs>
          <w:tab w:val="num" w:pos="40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  <w:tabs>
          <w:tab w:val="num" w:pos="47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  <w:tabs>
          <w:tab w:val="num" w:pos="54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  <w:tabs>
          <w:tab w:val="num" w:pos="619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  <w:sz w:val="3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  <w:sz w:val="3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5"/>
  </w:num>
  <w:num w:numId="5">
    <w:abstractNumId w:val="2"/>
  </w:num>
  <w:num w:numId="6">
    <w:abstractNumId w:val="4"/>
  </w:num>
  <w:num w:numId="7">
    <w:abstractNumId w:val="14"/>
  </w:num>
  <w:num w:numId="8">
    <w:abstractNumId w:val="20"/>
  </w:num>
  <w:num w:numId="9">
    <w:abstractNumId w:val="3"/>
  </w:num>
  <w:num w:numId="10">
    <w:abstractNumId w:val="6"/>
  </w:num>
  <w:num w:numId="11">
    <w:abstractNumId w:val="19"/>
  </w:num>
  <w:num w:numId="12">
    <w:abstractNumId w:val="13"/>
  </w:num>
  <w:num w:numId="13">
    <w:abstractNumId w:val="9"/>
  </w:num>
  <w:num w:numId="14">
    <w:abstractNumId w:val="7"/>
  </w:num>
  <w:num w:numId="15">
    <w:abstractNumId w:val="5"/>
  </w:num>
  <w:num w:numId="16">
    <w:abstractNumId w:val="1"/>
  </w:num>
  <w:num w:numId="17">
    <w:abstractNumId w:val="17"/>
  </w:num>
  <w:num w:numId="18">
    <w:abstractNumId w:val="12"/>
  </w:num>
  <w:num w:numId="19">
    <w:abstractNumId w:val="16"/>
  </w:num>
  <w:num w:numId="20">
    <w:abstractNumId w:val="0"/>
  </w:num>
  <w:num w:numId="2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0"/>
    <w:next w:val="64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4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0"/>
    <w:next w:val="64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4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0"/>
    <w:next w:val="64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4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0"/>
    <w:next w:val="64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4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0"/>
    <w:next w:val="64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4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0"/>
    <w:next w:val="64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4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0"/>
    <w:next w:val="64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4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0"/>
    <w:next w:val="64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4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0"/>
    <w:next w:val="64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4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4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40"/>
    <w:next w:val="64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41"/>
    <w:link w:val="32"/>
    <w:uiPriority w:val="10"/>
    <w:rPr>
      <w:sz w:val="48"/>
      <w:szCs w:val="48"/>
    </w:rPr>
  </w:style>
  <w:style w:type="paragraph" w:styleId="34">
    <w:name w:val="Subtitle"/>
    <w:basedOn w:val="640"/>
    <w:next w:val="64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41"/>
    <w:link w:val="34"/>
    <w:uiPriority w:val="11"/>
    <w:rPr>
      <w:sz w:val="24"/>
      <w:szCs w:val="24"/>
    </w:rPr>
  </w:style>
  <w:style w:type="paragraph" w:styleId="36">
    <w:name w:val="Quote"/>
    <w:basedOn w:val="640"/>
    <w:next w:val="64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0"/>
    <w:next w:val="64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1"/>
    <w:link w:val="40"/>
    <w:uiPriority w:val="99"/>
  </w:style>
  <w:style w:type="paragraph" w:styleId="42">
    <w:name w:val="Footer"/>
    <w:basedOn w:val="640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41"/>
    <w:link w:val="42"/>
    <w:uiPriority w:val="99"/>
  </w:style>
  <w:style w:type="paragraph" w:styleId="44">
    <w:name w:val="Caption"/>
    <w:basedOn w:val="640"/>
    <w:next w:val="6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4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1"/>
    <w:uiPriority w:val="99"/>
    <w:unhideWhenUsed/>
    <w:rPr>
      <w:vertAlign w:val="superscript"/>
    </w:rPr>
  </w:style>
  <w:style w:type="paragraph" w:styleId="176">
    <w:name w:val="endnote text"/>
    <w:basedOn w:val="64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1"/>
    <w:uiPriority w:val="99"/>
    <w:semiHidden/>
    <w:unhideWhenUsed/>
    <w:rPr>
      <w:vertAlign w:val="superscript"/>
    </w:rPr>
  </w:style>
  <w:style w:type="paragraph" w:styleId="179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qFormat/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>
    <w:name w:val="Normal (Web)"/>
    <w:basedOn w:val="640"/>
    <w:uiPriority w:val="99"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645">
    <w:name w:val="Hyperlink"/>
    <w:basedOn w:val="641"/>
    <w:uiPriority w:val="99"/>
    <w:unhideWhenUsed/>
    <w:rPr>
      <w:color w:val="0000FF"/>
      <w:u w:val="single"/>
    </w:rPr>
  </w:style>
  <w:style w:type="table" w:styleId="646">
    <w:name w:val="Table Grid"/>
    <w:basedOn w:val="642"/>
    <w:rPr>
      <w:rFonts w:ascii="Times New Roman" w:hAnsi="Times New Roman" w:cs="Times New Roman" w:eastAsia="Times New Roman"/>
      <w:sz w:val="20"/>
      <w:szCs w:val="20"/>
    </w:rPr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7">
    <w:name w:val="Body Text 3"/>
    <w:basedOn w:val="640"/>
    <w:link w:val="648"/>
    <w:rPr>
      <w:rFonts w:ascii="Times New Roman" w:hAnsi="Times New Roman" w:cs="Times New Roman" w:eastAsia="Times New Roman"/>
      <w:sz w:val="16"/>
      <w:szCs w:val="16"/>
    </w:rPr>
    <w:pPr>
      <w:spacing w:lineRule="auto" w:line="240" w:after="120"/>
    </w:pPr>
  </w:style>
  <w:style w:type="character" w:styleId="648" w:customStyle="1">
    <w:name w:val="Основной текст 3 Знак"/>
    <w:basedOn w:val="641"/>
    <w:link w:val="647"/>
    <w:rPr>
      <w:rFonts w:ascii="Times New Roman" w:hAnsi="Times New Roman" w:cs="Times New Roman" w:eastAsia="Times New Roman"/>
      <w:sz w:val="16"/>
      <w:szCs w:val="16"/>
      <w:lang w:eastAsia="ru-RU"/>
    </w:rPr>
  </w:style>
  <w:style w:type="paragraph" w:styleId="649">
    <w:name w:val="Balloon Text"/>
    <w:basedOn w:val="640"/>
    <w:link w:val="650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50" w:customStyle="1">
    <w:name w:val="Текст выноски Знак"/>
    <w:basedOn w:val="641"/>
    <w:link w:val="64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F6E3A804-8A08-43E7-900C-D7AEB864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Шамсула Исмаилов</cp:lastModifiedBy>
  <cp:revision>5</cp:revision>
  <dcterms:created xsi:type="dcterms:W3CDTF">2020-05-05T11:28:00Z</dcterms:created>
  <dcterms:modified xsi:type="dcterms:W3CDTF">2022-01-30T06:33:36Z</dcterms:modified>
</cp:coreProperties>
</file>